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6A7345E5" w14:textId="77777777" w:rsidR="00265398" w:rsidRPr="00265398" w:rsidRDefault="00265398" w:rsidP="00265398">
      <w:pPr>
        <w:jc w:val="center"/>
        <w:rPr>
          <w:b/>
          <w:u w:val="single"/>
        </w:rPr>
      </w:pPr>
    </w:p>
    <w:p w14:paraId="634D3F2D" w14:textId="77777777" w:rsidR="00265398" w:rsidRPr="00265398" w:rsidRDefault="00265398" w:rsidP="00265398">
      <w:pPr>
        <w:jc w:val="center"/>
        <w:rPr>
          <w:b/>
          <w:u w:val="single"/>
        </w:rPr>
      </w:pPr>
    </w:p>
    <w:p w14:paraId="257D8B26" w14:textId="77777777" w:rsidR="00265398" w:rsidRPr="00265398" w:rsidRDefault="00265398" w:rsidP="00265398">
      <w:pPr>
        <w:jc w:val="center"/>
        <w:rPr>
          <w:b/>
          <w:u w:val="single"/>
        </w:rPr>
      </w:pPr>
      <w:r w:rsidRPr="00265398">
        <w:rPr>
          <w:b/>
          <w:u w:val="single"/>
        </w:rPr>
        <w:t>REFERAT</w:t>
      </w:r>
    </w:p>
    <w:p w14:paraId="5C4FF690" w14:textId="77777777" w:rsidR="00265398" w:rsidRPr="00265398" w:rsidRDefault="00265398" w:rsidP="00265398">
      <w:pPr>
        <w:jc w:val="center"/>
        <w:rPr>
          <w:b/>
        </w:rPr>
      </w:pPr>
    </w:p>
    <w:p w14:paraId="02B2D047" w14:textId="77777777" w:rsidR="00265398" w:rsidRPr="00265398" w:rsidRDefault="00265398" w:rsidP="00265398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265398">
        <w:rPr>
          <w:b/>
        </w:rPr>
        <w:t>Privind modificarea contractului de delegare a gestiunii serviciului de transport public in comun de persoane prin curse regulate, in Contract de Servicii Publice conform Regulamentului CE 1370/2007 al Parlamentului European şi al Consiliului privind serviciile publice de transport feroviar şi rutier de călători;</w:t>
      </w:r>
    </w:p>
    <w:p w14:paraId="20ECDEBB" w14:textId="77777777" w:rsidR="00265398" w:rsidRPr="00265398" w:rsidRDefault="00265398" w:rsidP="00265398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</w:pPr>
    </w:p>
    <w:p w14:paraId="3A29627C" w14:textId="77777777" w:rsidR="00265398" w:rsidRPr="00265398" w:rsidRDefault="00265398" w:rsidP="00265398">
      <w:pPr>
        <w:autoSpaceDE w:val="0"/>
        <w:autoSpaceDN w:val="0"/>
        <w:adjustRightInd w:val="0"/>
        <w:ind w:firstLine="708"/>
        <w:jc w:val="both"/>
      </w:pPr>
      <w:r w:rsidRPr="00265398">
        <w:t>Prin proiectul de hotărâre propunem aprobarea studiu de oportunitate privind dezvoltarea serviciului de transport public local in municipiului Dej, Regulamentul de operare a serviciului de transport public, Caietul de Sarcini privind operarea serviciului de transport public, proiectul de Contract de Servicii Publice.</w:t>
      </w:r>
    </w:p>
    <w:p w14:paraId="60B40284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74D16920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Scopul prezentului studiu de oportunitate este acela de a permite luarea unei decizii informate asupra delegării administrării si operării serviciului de transport public in Municipiul Dej, prin analiza tuturor elementelor tehnice, juridice si financiare specifice.</w:t>
      </w:r>
    </w:p>
    <w:p w14:paraId="20BAF56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3F651ECD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Realizarea studiului de oportunitate a deciziei de delegare reprezintă cerința obligatorie, conform prevederilor legale. Studiul de oportunitate se axează pe analiza elementelor tehnice, juridice si financiare implicite, realizând o evaluare a următoarelor aspecte:</w:t>
      </w:r>
    </w:p>
    <w:p w14:paraId="255B62A9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Aspecte generale ;</w:t>
      </w:r>
    </w:p>
    <w:p w14:paraId="3DE4AC1C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Fezabilitate tehnica ;</w:t>
      </w:r>
    </w:p>
    <w:p w14:paraId="08AB894A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Fezabilitate economica si financiara ;</w:t>
      </w:r>
    </w:p>
    <w:p w14:paraId="37BE8A90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Aspecte de mediu ;</w:t>
      </w:r>
    </w:p>
    <w:p w14:paraId="23D6965F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Aspecte sociale si aspecte institutionale.</w:t>
      </w:r>
    </w:p>
    <w:p w14:paraId="7A538F1A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72A5DB6B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Prezentul studiu fundamentează necesitatea si oportunitatea concesionării transportului public local de persoane în Municipiul Dej si stabilirea soluțiilor optime de delegare a gestiunii serviciilor.</w:t>
      </w:r>
    </w:p>
    <w:p w14:paraId="5FDF8531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1D05833E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 xml:space="preserve">Autoritățile administrației publice locale au obligația de a stabili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de a aplica strategia pe termen mediu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lung pentru extinderea, dezvoltarea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>i modernizarea serviciilor de transport public jude</w:t>
      </w:r>
      <w:r w:rsidRPr="00265398">
        <w:rPr>
          <w:rFonts w:cs="Bookman Old Style"/>
          <w:color w:val="000000"/>
        </w:rPr>
        <w:t>ţ</w:t>
      </w:r>
      <w:r w:rsidRPr="00265398">
        <w:rPr>
          <w:color w:val="000000"/>
        </w:rPr>
        <w:t>ean de persoane prin curse regulate, țin</w:t>
      </w:r>
      <w:r w:rsidRPr="00265398">
        <w:rPr>
          <w:rFonts w:cs="Bookman Old Style"/>
          <w:color w:val="000000"/>
        </w:rPr>
        <w:t>â</w:t>
      </w:r>
      <w:r w:rsidRPr="00265398">
        <w:rPr>
          <w:color w:val="000000"/>
        </w:rPr>
        <w:t xml:space="preserve">nd seama de planurile de urbanism şi amenajarea teritoriului, de programele de dezvoltare economico-socială a localităților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de cerințele de transport public local, evoluția acestora, precum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de folosirea mijloacelor de transport cu consumuri energetice reduse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emisii minime de noxe. </w:t>
      </w:r>
    </w:p>
    <w:p w14:paraId="77889E3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4F2A82C4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Prin realizarea acestui obiectiv, Consiliul Local al Municipiului Dej, reprezentantul Autorității administrației publice locale al Municipiului Dej, urm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>re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te, </w:t>
      </w:r>
      <w:r w:rsidRPr="00265398">
        <w:rPr>
          <w:rFonts w:cs="Bookman Old Style"/>
          <w:color w:val="000000"/>
        </w:rPr>
        <w:t>î</w:t>
      </w:r>
      <w:r w:rsidRPr="00265398">
        <w:rPr>
          <w:color w:val="000000"/>
        </w:rPr>
        <w:t xml:space="preserve">n condițiile legii, prin strategiile pe care le va adopta: </w:t>
      </w:r>
    </w:p>
    <w:p w14:paraId="2CE76A80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lastRenderedPageBreak/>
        <w:t>o</w:t>
      </w:r>
      <w:r w:rsidRPr="00265398">
        <w:rPr>
          <w:color w:val="000000"/>
        </w:rPr>
        <w:tab/>
        <w:t xml:space="preserve">dezvoltarea şi funcționarea pe termen mediu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lung a serviciilor de transport public de persoane </w:t>
      </w:r>
      <w:r w:rsidRPr="00265398">
        <w:rPr>
          <w:rFonts w:cs="Bookman Old Style"/>
          <w:color w:val="000000"/>
        </w:rPr>
        <w:t>î</w:t>
      </w:r>
      <w:r w:rsidRPr="00265398">
        <w:rPr>
          <w:color w:val="000000"/>
        </w:rPr>
        <w:t>n concordanț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cu programele de dezvoltare economico- social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a municipiului, precum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a infrastructurii aferente acestuia; </w:t>
      </w:r>
    </w:p>
    <w:p w14:paraId="44ED8D69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 xml:space="preserve">satisfacerea în condiții optime a nevoilor populației (principalul client), precum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al instituțiilor publice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>i agenților economici de pe raza administrativ- teritorial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a muncipiului pe care </w:t>
      </w:r>
      <w:r w:rsidRPr="00265398">
        <w:rPr>
          <w:rFonts w:cs="Bookman Old Style"/>
          <w:color w:val="000000"/>
        </w:rPr>
        <w:t>î</w:t>
      </w:r>
      <w:r w:rsidRPr="00265398">
        <w:rPr>
          <w:color w:val="000000"/>
        </w:rPr>
        <w:t>i deserve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te prin serviciile de transport; </w:t>
      </w:r>
    </w:p>
    <w:p w14:paraId="6856D7F9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gestionarea serviciilor de transport public local de persoane pe criterii de competitivitate şi eficienț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managerial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; </w:t>
      </w:r>
    </w:p>
    <w:p w14:paraId="66A85BB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îmbunătățirea condițiilor de viaț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ale cet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>țenilor prin promovarea calit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ții 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 xml:space="preserve">i eficienței transportului public local de persoane; </w:t>
      </w:r>
    </w:p>
    <w:p w14:paraId="63D2BF9C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 xml:space="preserve">asigurarea capacității suficiente de transport pe rute aglomerate; </w:t>
      </w:r>
    </w:p>
    <w:p w14:paraId="270DBEDB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 xml:space="preserve">promovarea reabilitării infrastructurii aferente serviciilor de transport public local de persoane; </w:t>
      </w:r>
    </w:p>
    <w:p w14:paraId="555FA2B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 xml:space="preserve">realizarea unei infrastructuri edilitare moderne printr-un program investițional adecvat, </w:t>
      </w:r>
      <w:r w:rsidRPr="00265398">
        <w:rPr>
          <w:rFonts w:cs="Bookman Old Style"/>
          <w:color w:val="000000"/>
        </w:rPr>
        <w:t>î</w:t>
      </w:r>
      <w:r w:rsidRPr="00265398">
        <w:rPr>
          <w:color w:val="000000"/>
        </w:rPr>
        <w:t>n vederea cre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>terii calit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>ții vieții cet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țenilor; </w:t>
      </w:r>
    </w:p>
    <w:p w14:paraId="50F2011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 xml:space="preserve">acordarea de facilități unor categorii de persoane, defavorizate din punct de vedere social; </w:t>
      </w:r>
    </w:p>
    <w:p w14:paraId="6F20116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o</w:t>
      </w:r>
      <w:r w:rsidRPr="00265398">
        <w:rPr>
          <w:color w:val="000000"/>
        </w:rPr>
        <w:tab/>
        <w:t>menținerea serviciului de transport la indicatorii de performanț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propu</w:t>
      </w:r>
      <w:r w:rsidRPr="00265398">
        <w:rPr>
          <w:rFonts w:cs="Bookman Old Style"/>
          <w:color w:val="000000"/>
        </w:rPr>
        <w:t>ş</w:t>
      </w:r>
      <w:r w:rsidRPr="00265398">
        <w:rPr>
          <w:color w:val="000000"/>
        </w:rPr>
        <w:t>i.</w:t>
      </w:r>
    </w:p>
    <w:p w14:paraId="3C47FADA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306F48A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In conformitate cu Ordinul 263 din 6 decembrie 2007 privind aprobarea „Normelor cadru privind modalitatea de atribuire a contractelor de delegare a gestiunii serviciilor de transport public local”, studiul trebuie sa cuprinda:</w:t>
      </w:r>
    </w:p>
    <w:p w14:paraId="3842DEC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a.</w:t>
      </w:r>
      <w:r w:rsidRPr="00265398">
        <w:rPr>
          <w:color w:val="000000"/>
        </w:rPr>
        <w:tab/>
        <w:t>descrierea si identificarea serviciului, a ariei teritoriale si a sistemului a carui gestiune urmeaza sa fie delegata</w:t>
      </w:r>
    </w:p>
    <w:p w14:paraId="78691CEE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b.</w:t>
      </w:r>
      <w:r w:rsidRPr="00265398">
        <w:rPr>
          <w:color w:val="000000"/>
        </w:rPr>
        <w:tab/>
        <w:t>situatia economica-financiara actuala a serviciului si starea tehnica a sistemului aferent acestuia</w:t>
      </w:r>
    </w:p>
    <w:p w14:paraId="7387CFD8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c.</w:t>
      </w:r>
      <w:r w:rsidRPr="00265398">
        <w:rPr>
          <w:color w:val="000000"/>
        </w:rPr>
        <w:tab/>
        <w:t>investitiile necesare pentru modernizarea, imbunatatirea calitativa si cantitativa, precum si a conditiilor sociale si de mediu si extinderea serviciului</w:t>
      </w:r>
    </w:p>
    <w:p w14:paraId="3C3D753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d.</w:t>
      </w:r>
      <w:r w:rsidRPr="00265398">
        <w:rPr>
          <w:color w:val="000000"/>
        </w:rPr>
        <w:tab/>
        <w:t>motive de ordin economic, financiar, social si de mediu, care justifica delegarea gestiunii</w:t>
      </w:r>
    </w:p>
    <w:p w14:paraId="1CC5F661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e.</w:t>
      </w:r>
      <w:r w:rsidRPr="00265398">
        <w:rPr>
          <w:color w:val="000000"/>
        </w:rPr>
        <w:tab/>
        <w:t>nivelul minim al redeventei, dupa caz</w:t>
      </w:r>
    </w:p>
    <w:p w14:paraId="71899A5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f.</w:t>
      </w:r>
      <w:r w:rsidRPr="00265398">
        <w:rPr>
          <w:color w:val="000000"/>
        </w:rPr>
        <w:tab/>
        <w:t>durata estimata a contractului de delegare</w:t>
      </w:r>
    </w:p>
    <w:p w14:paraId="46F2D0CD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6C41102D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Referinte legale</w:t>
      </w:r>
    </w:p>
    <w:p w14:paraId="17168809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Referintele legale la nivel european</w:t>
      </w:r>
    </w:p>
    <w:p w14:paraId="566D7425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400D9618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Aspectele utilizate in cadrul acestui Studiu de oportunitate sunt reglementate la nivel comunitar de următoarele acte normative:</w:t>
      </w:r>
    </w:p>
    <w:p w14:paraId="6443EAB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1C9039B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Tratatul privind funcţionarea Uniunii Europene, denumit în continuare "TFUE";</w:t>
      </w:r>
    </w:p>
    <w:p w14:paraId="6402BCAD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Regulamentul (CE) nr. 1370/2007 al Parlamentului European și al Consiliului din 23 octombrie 2007 privind serviciile publice de transport de c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>l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>tori pe calea ferat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și rutier și de abrogare a Regulamentelor (CEE) nr 1191/69 și nr 1107/70 (JO L 315/2007), denumit </w:t>
      </w:r>
      <w:r w:rsidRPr="00265398">
        <w:rPr>
          <w:rFonts w:cs="Bookman Old Style"/>
          <w:color w:val="000000"/>
        </w:rPr>
        <w:t>î</w:t>
      </w:r>
      <w:r w:rsidRPr="00265398">
        <w:rPr>
          <w:color w:val="000000"/>
        </w:rPr>
        <w:t>n continuare "Regulamentul (CE) 1370/2007".</w:t>
      </w:r>
    </w:p>
    <w:p w14:paraId="580D3694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lastRenderedPageBreak/>
        <w:t>•</w:t>
      </w:r>
      <w:r w:rsidRPr="00265398">
        <w:rPr>
          <w:color w:val="000000"/>
        </w:rPr>
        <w:tab/>
        <w:t>Regulamentul (UE) nr 1303/2013 al Parlamentului European și al Consiliului din 17 decembrie 2013 de stabilire a unor dispozi</w:t>
      </w:r>
      <w:r w:rsidRPr="00265398">
        <w:rPr>
          <w:rFonts w:cs="Bookman Old Style"/>
          <w:color w:val="000000"/>
        </w:rPr>
        <w:t>ţ</w:t>
      </w:r>
      <w:r w:rsidRPr="00265398">
        <w:rPr>
          <w:color w:val="000000"/>
        </w:rPr>
        <w:t>ii comune privind Fondul european de dezvoltare regional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>, Fondul social european, Fondul de coeziune, Fondul european agricol pentru dezvoltare rurală și Fondul european pentru pescuit și afaceri maritime, precum și de stabilire a unor dispozi</w:t>
      </w:r>
      <w:r w:rsidRPr="00265398">
        <w:rPr>
          <w:rFonts w:cs="Bookman Old Style"/>
          <w:color w:val="000000"/>
        </w:rPr>
        <w:t>ţ</w:t>
      </w:r>
      <w:r w:rsidRPr="00265398">
        <w:rPr>
          <w:color w:val="000000"/>
        </w:rPr>
        <w:t>ii generale privind Fondul european de dezvoltare regional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, Fondul social european, Fondul de coeziune și Fondul european pentru pescuit și afaceri maritime și de abrogare a Regulamentului (CE) nr. 1083/2006 al Consiliului, denumit </w:t>
      </w:r>
      <w:r w:rsidRPr="00265398">
        <w:rPr>
          <w:rFonts w:cs="Bookman Old Style"/>
          <w:color w:val="000000"/>
        </w:rPr>
        <w:t>î</w:t>
      </w:r>
      <w:r w:rsidRPr="00265398">
        <w:rPr>
          <w:color w:val="000000"/>
        </w:rPr>
        <w:t>n continuare "Regulamentul 1303/2013".</w:t>
      </w:r>
    </w:p>
    <w:p w14:paraId="0DF39DAA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Regulamentul (UE) nr 1301/2013 al Parlamentului European și al Consiliului din 17 Decembrie 2013, privind Fondul European de Dezvoltare Regional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și dispoziții specifice referitoare la investi</w:t>
      </w:r>
      <w:r w:rsidRPr="00265398">
        <w:rPr>
          <w:rFonts w:cs="Bookman Old Style"/>
          <w:color w:val="000000"/>
        </w:rPr>
        <w:t>ţ</w:t>
      </w:r>
      <w:r w:rsidRPr="00265398">
        <w:rPr>
          <w:color w:val="000000"/>
        </w:rPr>
        <w:t>iile pentru creștere economic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și ocuparea forței de munc</w:t>
      </w:r>
      <w:r w:rsidRPr="00265398">
        <w:rPr>
          <w:rFonts w:cs="Bookman Old Style"/>
          <w:color w:val="000000"/>
        </w:rPr>
        <w:t>ă</w:t>
      </w:r>
      <w:r w:rsidRPr="00265398">
        <w:rPr>
          <w:color w:val="000000"/>
        </w:rPr>
        <w:t xml:space="preserve"> și de abrogare a Regulamentului (CE) nr 1080/2006.</w:t>
      </w:r>
    </w:p>
    <w:p w14:paraId="55F44AB0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17E22A2A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5A785A22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5626B220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258C656C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Referintele legale la nivel national</w:t>
      </w:r>
    </w:p>
    <w:p w14:paraId="161B940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3B09FE46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Conţinutul prezentului document este reglementat la nivel naţional de următoarele acte normative:</w:t>
      </w:r>
    </w:p>
    <w:p w14:paraId="096C8C57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Legea nr. 215/2001 privind administraţia publică locală;</w:t>
      </w:r>
    </w:p>
    <w:p w14:paraId="24508EF8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Legea nr. 273/2006 privind finanţele publice locale;</w:t>
      </w:r>
    </w:p>
    <w:p w14:paraId="41897DC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Legea nr. 213/1998 privind proprietatea publică și regimul juridic al acesteia;</w:t>
      </w:r>
    </w:p>
    <w:p w14:paraId="52AA681F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Legea nr. 287/2009 privind Codul civil;</w:t>
      </w:r>
    </w:p>
    <w:p w14:paraId="6E6955A2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Legea nr. 31/1990 privind societăţile;</w:t>
      </w:r>
    </w:p>
    <w:p w14:paraId="5A072907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 xml:space="preserve">Legea nr. 51/2006 privind serviciile comunitare de utilităţi publice; </w:t>
      </w:r>
    </w:p>
    <w:p w14:paraId="5FBDD11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 xml:space="preserve">Legea nr. 92/2007 privind serviciile de transport public local; </w:t>
      </w:r>
    </w:p>
    <w:p w14:paraId="100AB67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 xml:space="preserve">Ordinul ministrului afacerilor interne și reformei administrative nr 353/2007 de aprobare a normelor de aplicare a Legii serviciilor de transport public local nr. 92/2007; </w:t>
      </w:r>
    </w:p>
    <w:p w14:paraId="06060683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 xml:space="preserve">Ordonanţa Guvernului nr. 27/2011 privind transporturile rutiere; </w:t>
      </w:r>
    </w:p>
    <w:p w14:paraId="303493ED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Ordonanţa Guvernului nr. 7/2012 privind implementarea sistemelor de transport inteligente în domeniul transportului rutier și pentru realizarea interfe</w:t>
      </w:r>
      <w:r w:rsidRPr="00265398">
        <w:rPr>
          <w:rFonts w:cs="Bookman Old Style"/>
          <w:color w:val="000000"/>
        </w:rPr>
        <w:t>ţ</w:t>
      </w:r>
      <w:r w:rsidRPr="00265398">
        <w:rPr>
          <w:color w:val="000000"/>
        </w:rPr>
        <w:t>elor cu alte moduri de transport;</w:t>
      </w:r>
    </w:p>
    <w:p w14:paraId="6C1BB7BF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Ordonanţa Guvernului nr. 97/1999 (r) privind garantarea furnizării de servicii publice subvenţionate de transport rutier intern si de transport pe căile navigabile interioare; și</w:t>
      </w:r>
    </w:p>
    <w:p w14:paraId="7E65139E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 xml:space="preserve">Ordinul ministrului transporturilor nr. 972/2007 pentru aprobarea Regulamentului-cadru pentru efectuarea transportului public local și a Caietului de sarcini-cadru al serviciilor de transport public local. </w:t>
      </w:r>
    </w:p>
    <w:p w14:paraId="06AE908F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Ordonanta de Urgenta a Guvernului nr. 77/2014 privind procedurile nationale in domeniul ajutorului de stat, precum si pentru modificarea si completarea Legii concurentei nr. 21/1996.</w:t>
      </w:r>
    </w:p>
    <w:p w14:paraId="71EC70AC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Legea nr.20/2015 pentru aprobarea Ordonantei de Urgenta a Guvernului nr.77/2014</w:t>
      </w:r>
    </w:p>
    <w:p w14:paraId="16AB7591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•</w:t>
      </w:r>
      <w:r w:rsidRPr="00265398">
        <w:rPr>
          <w:color w:val="000000"/>
        </w:rPr>
        <w:tab/>
        <w:t>Ordonanţa de Urgenţă a Guvernului nr. 40/2015 privind gestionarea financiară a fondurilor europene pentru perioada de programare 2014-2020</w:t>
      </w:r>
    </w:p>
    <w:p w14:paraId="4AC9F18D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lastRenderedPageBreak/>
        <w:t>•</w:t>
      </w:r>
      <w:r w:rsidRPr="00265398">
        <w:rPr>
          <w:color w:val="000000"/>
        </w:rPr>
        <w:tab/>
        <w:t>Hotărârea Guvernului nr. 93/2016 pentru aprobarea Normelor Metodologice de aplicare a prevederilor Ordonanţei de Urgenţă a Guvernului nr. 40/2015 privind gestionarea financiară a fondurilor europene pentru perioada de programare 2014-2020</w:t>
      </w:r>
    </w:p>
    <w:p w14:paraId="404478B4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1DD75A00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  <w:r w:rsidRPr="00265398">
        <w:rPr>
          <w:color w:val="000000"/>
        </w:rPr>
        <w:t>Im urma realizarii studiului de oportunitate privind dezvoltarea serviciului de transport public local in municipiului Dej au rezultat urmatoarele concluzii generale:</w:t>
      </w:r>
    </w:p>
    <w:p w14:paraId="69A465D9" w14:textId="77777777" w:rsidR="00265398" w:rsidRPr="00265398" w:rsidRDefault="00265398" w:rsidP="00265398">
      <w:pPr>
        <w:shd w:val="clear" w:color="auto" w:fill="FFFFFF"/>
        <w:ind w:firstLine="708"/>
        <w:jc w:val="both"/>
        <w:rPr>
          <w:color w:val="000000"/>
        </w:rPr>
      </w:pPr>
    </w:p>
    <w:p w14:paraId="62E42A58" w14:textId="77777777" w:rsidR="00265398" w:rsidRPr="00265398" w:rsidRDefault="00265398" w:rsidP="00265398">
      <w:pPr>
        <w:numPr>
          <w:ilvl w:val="0"/>
          <w:numId w:val="1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>Tipul de delegare a serviciului public este delegare directă către operatorul municipial SC Transurb SA, având în vedere avantajele precizate în capitolul de analiză</w:t>
      </w:r>
    </w:p>
    <w:p w14:paraId="66395D1D" w14:textId="77777777" w:rsidR="00265398" w:rsidRPr="00265398" w:rsidRDefault="00265398" w:rsidP="00265398">
      <w:pPr>
        <w:numPr>
          <w:ilvl w:val="0"/>
          <w:numId w:val="1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>Programul cu care este operat serviciul de transport public în municipiul Dej va suferi modificări majore, astfel:</w:t>
      </w:r>
    </w:p>
    <w:p w14:paraId="41B617FF" w14:textId="77777777" w:rsidR="00265398" w:rsidRPr="00265398" w:rsidRDefault="00265398" w:rsidP="00265398">
      <w:pPr>
        <w:numPr>
          <w:ilvl w:val="0"/>
          <w:numId w:val="2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>Eliminarea liniilor externe 10 și 15, care exced zona administrativă a autorității contractante, linia 5 va fi limitată la intersecţia Str. Valea Jichişului cu Str. Tărpiului, iar linia 12 va fi limitată la stația Dej Parcare.</w:t>
      </w:r>
    </w:p>
    <w:p w14:paraId="01C37226" w14:textId="77777777" w:rsidR="00265398" w:rsidRPr="00265398" w:rsidRDefault="00265398" w:rsidP="00265398">
      <w:pPr>
        <w:numPr>
          <w:ilvl w:val="0"/>
          <w:numId w:val="2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>Creșterea frecvenței de circulație pe liniile 0,1,4,5, programul propus fiind prezentat în Anexa 2</w:t>
      </w:r>
    </w:p>
    <w:p w14:paraId="41FECD7B" w14:textId="77777777" w:rsidR="00265398" w:rsidRPr="00265398" w:rsidRDefault="00265398" w:rsidP="00265398">
      <w:pPr>
        <w:numPr>
          <w:ilvl w:val="0"/>
          <w:numId w:val="2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>Scăderea frecvenței de circulație pe linia 3, programul propus fiind prezentat în Anexa 2</w:t>
      </w:r>
    </w:p>
    <w:p w14:paraId="671DD1EF" w14:textId="77777777" w:rsidR="00265398" w:rsidRPr="00265398" w:rsidRDefault="00265398" w:rsidP="00265398">
      <w:pPr>
        <w:numPr>
          <w:ilvl w:val="0"/>
          <w:numId w:val="2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 xml:space="preserve">În scenariul recomandat: Intorducerea a 3 noi linii de transport public care să fie operate cu autobuze de medie capacitate. </w:t>
      </w:r>
    </w:p>
    <w:p w14:paraId="7E0B9E07" w14:textId="77777777" w:rsidR="00265398" w:rsidRPr="00265398" w:rsidRDefault="00265398" w:rsidP="00265398">
      <w:pPr>
        <w:numPr>
          <w:ilvl w:val="0"/>
          <w:numId w:val="3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>În scenariul recomandat, se propune achiziția de autobuze electrice - 14 autobuze de medie capacitate (9m), capacitate de minim 50 de locuri care vor circula pe traseele existente și 6 autobuze de capacitate redusa (6-7 m), capacitate de minim 22 de locuri, care vor circula pe traseele noi propuse.</w:t>
      </w:r>
    </w:p>
    <w:p w14:paraId="1EBA7B70" w14:textId="77777777" w:rsidR="00265398" w:rsidRPr="00265398" w:rsidRDefault="00265398" w:rsidP="00265398">
      <w:pPr>
        <w:numPr>
          <w:ilvl w:val="0"/>
          <w:numId w:val="3"/>
        </w:numPr>
        <w:jc w:val="both"/>
        <w:rPr>
          <w:rFonts w:eastAsia="Calibri"/>
          <w:lang w:eastAsia="x-none"/>
        </w:rPr>
      </w:pPr>
      <w:r w:rsidRPr="00265398">
        <w:rPr>
          <w:rFonts w:eastAsia="Calibri"/>
          <w:lang w:eastAsia="x-none"/>
        </w:rPr>
        <w:t>În scenariul recomandat, numărul mediu de utilizatori/zi este preconizat să crească cu 16,3% în primul an față de 2016, și menținerea acestui număr pe o perioadă de 10 ani</w:t>
      </w:r>
    </w:p>
    <w:p w14:paraId="731E4C21" w14:textId="77777777" w:rsidR="00265398" w:rsidRPr="00265398" w:rsidRDefault="00265398" w:rsidP="00265398">
      <w:pPr>
        <w:numPr>
          <w:ilvl w:val="0"/>
          <w:numId w:val="3"/>
        </w:numPr>
        <w:jc w:val="both"/>
        <w:rPr>
          <w:rFonts w:eastAsia="Calibri"/>
          <w:lang w:eastAsia="x-none"/>
        </w:rPr>
      </w:pPr>
      <w:r w:rsidRPr="00265398">
        <w:rPr>
          <w:color w:val="000000"/>
          <w:lang w:eastAsia="x-none"/>
        </w:rPr>
        <w:t xml:space="preserve">În scenariul recomandat costurile anuale cu exploatarea </w:t>
      </w:r>
      <w:r w:rsidRPr="00265398">
        <w:rPr>
          <w:b/>
          <w:color w:val="000000"/>
          <w:lang w:eastAsia="x-none"/>
        </w:rPr>
        <w:t>se reduc cu 40%</w:t>
      </w:r>
      <w:r w:rsidRPr="00265398">
        <w:rPr>
          <w:color w:val="000000"/>
          <w:lang w:eastAsia="x-none"/>
        </w:rPr>
        <w:t>, iar în cifre absolute, pe an economia e de 1.589.852 lei/an la exploatarea traseelor cu autobuze electrice</w:t>
      </w:r>
    </w:p>
    <w:p w14:paraId="6C5B8306" w14:textId="77777777" w:rsidR="00265398" w:rsidRPr="00265398" w:rsidRDefault="00265398" w:rsidP="00265398">
      <w:pPr>
        <w:numPr>
          <w:ilvl w:val="0"/>
          <w:numId w:val="3"/>
        </w:numPr>
        <w:jc w:val="both"/>
        <w:rPr>
          <w:rFonts w:eastAsia="Calibri"/>
          <w:lang w:eastAsia="x-none"/>
        </w:rPr>
      </w:pPr>
      <w:r w:rsidRPr="00265398">
        <w:rPr>
          <w:color w:val="000000"/>
          <w:lang w:eastAsia="x-none"/>
        </w:rPr>
        <w:t>În scenariul recomandat, subvenția acordată de autoritatea publică locală scade atât față de anul de referință cât și față de previzionarea pe celelalte scenarii cu maxim   1.553.094 lei/an, realizându-se o economie importantă la bugetul local al autorității contractante.</w:t>
      </w:r>
    </w:p>
    <w:p w14:paraId="0DBE72BF" w14:textId="77777777" w:rsidR="00265398" w:rsidRPr="00265398" w:rsidRDefault="00265398" w:rsidP="00265398">
      <w:pPr>
        <w:spacing w:before="100" w:beforeAutospacing="1" w:after="100" w:afterAutospacing="1"/>
        <w:ind w:firstLine="708"/>
        <w:jc w:val="both"/>
      </w:pPr>
    </w:p>
    <w:p w14:paraId="5E44BCB6" w14:textId="77777777" w:rsidR="00265398" w:rsidRPr="00265398" w:rsidRDefault="00265398" w:rsidP="00265398">
      <w:pPr>
        <w:spacing w:before="100" w:beforeAutospacing="1" w:after="100" w:afterAutospacing="1"/>
        <w:ind w:firstLine="708"/>
        <w:jc w:val="both"/>
      </w:pPr>
      <w:r w:rsidRPr="00265398">
        <w:t>Având in vedere cele prezentate mai sus, supunem spre dezbatere si aprobare Consiliului Local al municipiului Dej proiectul de hotărâre privind modificarea contractului de delegare a gestiunii serviciului de transport public in comun de persoane prin curse regulate, in Contract de Servicii Publice conform Regulamentului CE 1370/2007 al Parlamentului European şi al Consiliului privind serviciile publice de transport feroviar şi rutier de călător.</w:t>
      </w:r>
    </w:p>
    <w:p w14:paraId="0E087C38" w14:textId="77777777" w:rsidR="00265398" w:rsidRPr="00265398" w:rsidRDefault="00265398" w:rsidP="00265398">
      <w:pPr>
        <w:rPr>
          <w:b/>
        </w:rPr>
      </w:pPr>
    </w:p>
    <w:p w14:paraId="76922B9C" w14:textId="77777777" w:rsidR="00265398" w:rsidRPr="00265398" w:rsidRDefault="00265398" w:rsidP="00265398">
      <w:pPr>
        <w:rPr>
          <w:b/>
        </w:rPr>
      </w:pPr>
    </w:p>
    <w:p w14:paraId="609FF382" w14:textId="77777777" w:rsidR="00265398" w:rsidRPr="00265398" w:rsidRDefault="00265398" w:rsidP="00265398">
      <w:pPr>
        <w:rPr>
          <w:b/>
        </w:rPr>
      </w:pPr>
      <w:r w:rsidRPr="00265398">
        <w:rPr>
          <w:b/>
        </w:rPr>
        <w:t xml:space="preserve">Întocmit,  </w:t>
      </w:r>
    </w:p>
    <w:p w14:paraId="734DBB62" w14:textId="77777777" w:rsidR="00265398" w:rsidRPr="00265398" w:rsidRDefault="00265398" w:rsidP="00265398">
      <w:r w:rsidRPr="00265398">
        <w:t>Sef Birou Programe Dezvoltare</w:t>
      </w:r>
    </w:p>
    <w:p w14:paraId="081A93CB" w14:textId="77777777" w:rsidR="00265398" w:rsidRPr="00265398" w:rsidRDefault="00265398" w:rsidP="00265398">
      <w:r w:rsidRPr="00265398">
        <w:t>Gabriel Pop</w:t>
      </w:r>
    </w:p>
    <w:p w14:paraId="7EA48984" w14:textId="77777777" w:rsidR="00265398" w:rsidRPr="00265398" w:rsidRDefault="00265398" w:rsidP="00265398"/>
    <w:p w14:paraId="093C84B1" w14:textId="77777777" w:rsidR="00265398" w:rsidRPr="00265398" w:rsidRDefault="00265398" w:rsidP="00265398"/>
    <w:p w14:paraId="71BB37D0" w14:textId="77777777" w:rsidR="00265398" w:rsidRPr="00265398" w:rsidRDefault="00265398" w:rsidP="00265398">
      <w:r w:rsidRPr="00265398">
        <w:t>Compartiment juridic,</w:t>
      </w:r>
    </w:p>
    <w:p w14:paraId="414FFA7A" w14:textId="28589C5C" w:rsidR="000F49C7" w:rsidRDefault="00411557" w:rsidP="001B05BD">
      <w:pPr>
        <w:jc w:val="both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A89"/>
    <w:multiLevelType w:val="hybridMultilevel"/>
    <w:tmpl w:val="A6B61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C7AAB"/>
    <w:multiLevelType w:val="hybridMultilevel"/>
    <w:tmpl w:val="6DF24842"/>
    <w:lvl w:ilvl="0" w:tplc="A4BAF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4B3734"/>
    <w:multiLevelType w:val="hybridMultilevel"/>
    <w:tmpl w:val="34FE7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65398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ocumentSetDescription xmlns="http://schemas.microsoft.com/sharepoint/v3">Privind modificarea contractului de delegare a gestiunii serviciului de transport public in comun de persoane prin curse regulate, in Contract de Servicii Publice conform Regulamentului CE 1370/2007 al Parlamentului European şi al Consiliului privind serviciile publice de transport feroviar şi rutier de călători.</DocumentSetDescription>
    <Nume_x0020_proiect_x0020_HCL xmlns="49ad8bbe-11e1-42b2-a965-6a341b5f7ad4">ontractului de delegare a gestiunii serviciului de transport public in comun de persoane prin curse regulate</Nume_x0020_proiect_x0020_HCL>
    <_dlc_DocId xmlns="49ad8bbe-11e1-42b2-a965-6a341b5f7ad4">PMD17-1485498287-744</_dlc_DocId>
    <_dlc_DocIdUrl xmlns="49ad8bbe-11e1-42b2-a965-6a341b5f7ad4">
      <Url>http://smdoc/Situri/CL/_layouts/15/DocIdRedir.aspx?ID=PMD17-1485498287-744</Url>
      <Description>PMD17-1485498287-744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9ad8bbe-11e1-42b2-a965-6a341b5f7ad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E39E813-9224-41C5-83B5-1A490BCF9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10288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modificarea contractului de delegare a gestiunii serviciului de transport public in comun - Proiect de hotarare.docx</dc:title>
  <dc:creator>Juridic</dc:creator>
  <cp:lastModifiedBy>Gabriel Pop</cp:lastModifiedBy>
  <cp:revision>2</cp:revision>
  <cp:lastPrinted>2016-03-07T09:10:00Z</cp:lastPrinted>
  <dcterms:created xsi:type="dcterms:W3CDTF">2017-05-17T06:31:00Z</dcterms:created>
  <dcterms:modified xsi:type="dcterms:W3CDTF">2017-05-17T06:31:00Z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1001db7e-3902-42b5-ac8c-5aac7aa0643b</vt:lpwstr>
  </property>
  <property fmtid="{D5CDD505-2E9C-101B-9397-08002B2CF9AE}" pid="4" name="_docset_NoMedatataSyncRequired">
    <vt:lpwstr>False</vt:lpwstr>
  </property>
</Properties>
</file>